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9606" w14:textId="77777777" w:rsidR="00E83E40" w:rsidRDefault="00E83E40" w:rsidP="00E83E40">
      <w:pPr>
        <w:pStyle w:val="Default"/>
        <w:rPr>
          <w:rFonts w:ascii="Georgia" w:hAnsi="Georgia"/>
          <w:i/>
          <w:color w:val="000000" w:themeColor="text1"/>
          <w:u w:val="single"/>
        </w:rPr>
      </w:pPr>
    </w:p>
    <w:p w14:paraId="33C63247" w14:textId="447B0AA5" w:rsidR="002442F0" w:rsidRPr="00033E0F" w:rsidRDefault="002442F0" w:rsidP="002442F0">
      <w:pPr>
        <w:pStyle w:val="Style1"/>
      </w:pPr>
      <w:r>
        <w:t>Formation SNOEZELEN</w:t>
      </w:r>
      <w:r w:rsidR="007B6E8F">
        <w:t xml:space="preserve"> et Musico Thérapie</w:t>
      </w:r>
    </w:p>
    <w:p w14:paraId="4BC22930" w14:textId="77777777" w:rsidR="00E83E40" w:rsidRDefault="00E83E40" w:rsidP="00E83E40">
      <w:pPr>
        <w:pStyle w:val="Default"/>
        <w:rPr>
          <w:rFonts w:ascii="Georgia" w:hAnsi="Georgia"/>
          <w:i/>
          <w:color w:val="000000" w:themeColor="text1"/>
          <w:u w:val="single"/>
        </w:rPr>
      </w:pPr>
    </w:p>
    <w:p w14:paraId="72B2FB70" w14:textId="77777777" w:rsidR="00E83E40" w:rsidRDefault="00E83E40" w:rsidP="00E83E40">
      <w:pPr>
        <w:pStyle w:val="Default"/>
        <w:rPr>
          <w:rFonts w:ascii="Georgia" w:hAnsi="Georgia"/>
          <w:i/>
          <w:color w:val="000000" w:themeColor="text1"/>
          <w:u w:val="single"/>
        </w:rPr>
      </w:pPr>
    </w:p>
    <w:p w14:paraId="45E89484" w14:textId="77777777" w:rsidR="00E83E40" w:rsidRPr="00E83E40" w:rsidRDefault="00E83E40" w:rsidP="00E83E40">
      <w:pPr>
        <w:pStyle w:val="Default"/>
        <w:rPr>
          <w:rFonts w:ascii="PMingLiU-ExtB" w:eastAsia="PMingLiU-ExtB" w:hAnsi="PMingLiU-ExtB" w:cs="Walkway Bold"/>
          <w:sz w:val="28"/>
        </w:rPr>
      </w:pPr>
      <w:r w:rsidRPr="00E83E40">
        <w:rPr>
          <w:rFonts w:ascii="PMingLiU-ExtB" w:eastAsia="PMingLiU-ExtB" w:hAnsi="PMingLiU-ExtB"/>
          <w:color w:val="000000" w:themeColor="text1"/>
          <w:sz w:val="28"/>
          <w:u w:val="single"/>
        </w:rPr>
        <w:t>Public visé</w:t>
      </w:r>
      <w:r w:rsidRPr="00E83E40">
        <w:rPr>
          <w:rFonts w:ascii="PMingLiU-ExtB" w:eastAsia="PMingLiU-ExtB" w:hAnsi="PMingLiU-ExtB"/>
          <w:color w:val="000000" w:themeColor="text1"/>
          <w:sz w:val="28"/>
        </w:rPr>
        <w:t xml:space="preserve"> : </w:t>
      </w:r>
    </w:p>
    <w:p w14:paraId="5213F6B2" w14:textId="77777777" w:rsidR="00E83E40" w:rsidRDefault="00E83E40" w:rsidP="00E83E40">
      <w:pPr>
        <w:spacing w:line="276" w:lineRule="auto"/>
        <w:jc w:val="both"/>
        <w:rPr>
          <w:rFonts w:ascii="PMingLiU-ExtB" w:eastAsia="PMingLiU-ExtB" w:hAnsi="PMingLiU-ExtB"/>
          <w:bCs/>
          <w:sz w:val="22"/>
          <w:szCs w:val="20"/>
        </w:rPr>
      </w:pPr>
      <w:r w:rsidRPr="00E83E40">
        <w:rPr>
          <w:rFonts w:ascii="PMingLiU-ExtB" w:eastAsia="PMingLiU-ExtB" w:hAnsi="PMingLiU-ExtB"/>
          <w:bCs/>
          <w:sz w:val="22"/>
          <w:szCs w:val="20"/>
        </w:rPr>
        <w:t>Professionnels en charge de l</w:t>
      </w:r>
      <w:r w:rsidRPr="00E83E40">
        <w:rPr>
          <w:rFonts w:ascii="MS Mincho" w:eastAsia="MS Mincho" w:hAnsi="MS Mincho" w:cs="MS Mincho" w:hint="eastAsia"/>
          <w:bCs/>
          <w:sz w:val="22"/>
          <w:szCs w:val="20"/>
        </w:rPr>
        <w:t>’</w:t>
      </w:r>
      <w:r w:rsidRPr="00E83E40">
        <w:rPr>
          <w:rFonts w:ascii="PMingLiU-ExtB" w:eastAsia="PMingLiU-ExtB" w:hAnsi="PMingLiU-ExtB"/>
          <w:bCs/>
          <w:sz w:val="22"/>
          <w:szCs w:val="20"/>
        </w:rPr>
        <w:t>accompagnement aupr</w:t>
      </w:r>
      <w:r w:rsidRPr="00E83E40">
        <w:rPr>
          <w:rFonts w:ascii="PMingLiU-ExtB" w:eastAsia="PMingLiU-ExtB" w:hAnsi="PMingLiU-ExtB" w:cs="PMingLiU-ExtB" w:hint="eastAsia"/>
          <w:bCs/>
          <w:sz w:val="22"/>
          <w:szCs w:val="20"/>
        </w:rPr>
        <w:t>è</w:t>
      </w:r>
      <w:r w:rsidRPr="00E83E40">
        <w:rPr>
          <w:rFonts w:ascii="PMingLiU-ExtB" w:eastAsia="PMingLiU-ExtB" w:hAnsi="PMingLiU-ExtB"/>
          <w:bCs/>
          <w:sz w:val="22"/>
          <w:szCs w:val="20"/>
        </w:rPr>
        <w:t>s de personnes en situation de handicap, de personnes âgées et de jeunes enfants en crèche</w:t>
      </w:r>
    </w:p>
    <w:p w14:paraId="099D9AB5" w14:textId="77777777" w:rsidR="008D75F6" w:rsidRPr="00E83E40" w:rsidRDefault="008D75F6" w:rsidP="00E83E40">
      <w:pPr>
        <w:spacing w:line="276" w:lineRule="auto"/>
        <w:jc w:val="both"/>
        <w:rPr>
          <w:rFonts w:ascii="PMingLiU-ExtB" w:eastAsia="PMingLiU-ExtB" w:hAnsi="PMingLiU-ExtB"/>
          <w:bCs/>
          <w:sz w:val="22"/>
          <w:szCs w:val="20"/>
        </w:rPr>
      </w:pPr>
    </w:p>
    <w:p w14:paraId="5885DDBC" w14:textId="77777777" w:rsidR="00E83E40" w:rsidRPr="008D75F6" w:rsidRDefault="00E83E40" w:rsidP="008D75F6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PMingLiU-ExtB" w:eastAsia="PMingLiU-ExtB" w:hAnsi="PMingLiU-ExtB"/>
          <w:color w:val="95B3D7" w:themeColor="accent1" w:themeTint="99"/>
          <w:sz w:val="32"/>
        </w:rPr>
      </w:pPr>
      <w:r w:rsidRPr="008D75F6">
        <w:rPr>
          <w:rFonts w:ascii="PMingLiU-ExtB" w:eastAsia="PMingLiU-ExtB" w:hAnsi="PMingLiU-ExtB"/>
          <w:color w:val="95B3D7" w:themeColor="accent1" w:themeTint="99"/>
          <w:sz w:val="32"/>
        </w:rPr>
        <w:t xml:space="preserve">Objectifs </w:t>
      </w:r>
    </w:p>
    <w:p w14:paraId="5D4FBA51" w14:textId="77777777" w:rsidR="00E83E40" w:rsidRPr="008D75F6" w:rsidRDefault="00E83E40" w:rsidP="008D75F6">
      <w:pPr>
        <w:autoSpaceDE w:val="0"/>
        <w:autoSpaceDN w:val="0"/>
        <w:adjustRightInd w:val="0"/>
        <w:rPr>
          <w:rFonts w:ascii="PMingLiU-ExtB" w:eastAsia="PMingLiU-ExtB" w:hAnsi="PMingLiU-ExtB" w:cs="Walkway Bold"/>
          <w:color w:val="000000"/>
        </w:rPr>
      </w:pPr>
    </w:p>
    <w:p w14:paraId="56AB8DC4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Découvrir et appréhender le concept Snoezelen</w:t>
      </w:r>
    </w:p>
    <w:p w14:paraId="0E6A77F7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Savoir utiliser pleinement le potentiel d</w:t>
      </w:r>
      <w:r w:rsidRPr="00E83E40">
        <w:rPr>
          <w:rFonts w:ascii="MS Mincho" w:eastAsia="MS Mincho" w:hAnsi="MS Mincho" w:cs="MS Mincho" w:hint="eastAsia"/>
          <w:bCs/>
          <w:szCs w:val="20"/>
        </w:rPr>
        <w:t>’</w:t>
      </w:r>
      <w:r w:rsidRPr="00E83E40">
        <w:rPr>
          <w:rFonts w:ascii="PMingLiU-ExtB" w:eastAsia="PMingLiU-ExtB" w:hAnsi="PMingLiU-ExtB"/>
          <w:bCs/>
          <w:szCs w:val="20"/>
        </w:rPr>
        <w:t>une salle Snoezelen</w:t>
      </w:r>
    </w:p>
    <w:p w14:paraId="2588F774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Maitriser la prise en charge des personnes accueillies</w:t>
      </w:r>
    </w:p>
    <w:p w14:paraId="0BD28BE9" w14:textId="3C1CCA4E" w:rsidR="00E83E40" w:rsidRPr="00E83E40" w:rsidRDefault="00E83E40" w:rsidP="008D75F6">
      <w:pPr>
        <w:pStyle w:val="Paragraphedeliste"/>
        <w:spacing w:line="276" w:lineRule="auto"/>
        <w:jc w:val="both"/>
        <w:rPr>
          <w:rFonts w:ascii="PMingLiU-ExtB" w:eastAsia="PMingLiU-ExtB" w:hAnsi="PMingLiU-ExtB"/>
          <w:color w:val="000000" w:themeColor="text1"/>
          <w:sz w:val="28"/>
        </w:rPr>
      </w:pPr>
      <w:r w:rsidRPr="00E83E40">
        <w:rPr>
          <w:rFonts w:ascii="PMingLiU-ExtB" w:eastAsia="PMingLiU-ExtB" w:hAnsi="PMingLiU-ExtB"/>
          <w:bCs/>
          <w:szCs w:val="20"/>
        </w:rPr>
        <w:t>- Montrer ce que la musicothérapie apporte au concept</w:t>
      </w:r>
    </w:p>
    <w:p w14:paraId="79F92ED8" w14:textId="77777777" w:rsidR="00E83E40" w:rsidRPr="00E83E40" w:rsidRDefault="00E83E40" w:rsidP="00E83E4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PMingLiU-ExtB" w:eastAsia="PMingLiU-ExtB" w:hAnsi="PMingLiU-ExtB"/>
          <w:color w:val="95B3D7" w:themeColor="accent1" w:themeTint="99"/>
          <w:sz w:val="28"/>
        </w:rPr>
      </w:pPr>
      <w:r w:rsidRPr="00E83E40">
        <w:rPr>
          <w:rFonts w:ascii="PMingLiU-ExtB" w:eastAsia="PMingLiU-ExtB" w:hAnsi="PMingLiU-ExtB"/>
          <w:color w:val="95B3D7" w:themeColor="accent1" w:themeTint="99"/>
          <w:sz w:val="32"/>
        </w:rPr>
        <w:t>Contenu</w:t>
      </w:r>
    </w:p>
    <w:p w14:paraId="104B7745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rPr>
          <w:rFonts w:ascii="PMingLiU-ExtB" w:eastAsia="PMingLiU-ExtB" w:hAnsi="PMingLiU-ExtB" w:cs="Walkway Bold"/>
          <w:color w:val="000000"/>
          <w:sz w:val="24"/>
        </w:rPr>
      </w:pPr>
    </w:p>
    <w:p w14:paraId="3A2B5D25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bCs/>
          <w:szCs w:val="20"/>
          <w:u w:val="single"/>
        </w:rPr>
      </w:pPr>
      <w:r w:rsidRPr="00E83E40">
        <w:rPr>
          <w:rFonts w:ascii="PMingLiU-ExtB" w:eastAsia="PMingLiU-ExtB" w:hAnsi="PMingLiU-ExtB"/>
          <w:bCs/>
          <w:szCs w:val="20"/>
          <w:u w:val="single"/>
        </w:rPr>
        <w:t xml:space="preserve">Savoirs théoriques : </w:t>
      </w:r>
    </w:p>
    <w:p w14:paraId="78A25FC8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</w:p>
    <w:p w14:paraId="2CA12E6F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Présentation des fondamentaux du concept Snoezelen </w:t>
      </w:r>
    </w:p>
    <w:p w14:paraId="3E7F1192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Présentation d</w:t>
      </w:r>
      <w:r w:rsidRPr="00E83E40">
        <w:rPr>
          <w:rFonts w:ascii="MS Mincho" w:eastAsia="MS Mincho" w:hAnsi="MS Mincho" w:cs="MS Mincho" w:hint="eastAsia"/>
          <w:bCs/>
          <w:szCs w:val="20"/>
        </w:rPr>
        <w:t>’</w:t>
      </w:r>
      <w:r w:rsidRPr="00E83E40">
        <w:rPr>
          <w:rFonts w:ascii="PMingLiU-ExtB" w:eastAsia="PMingLiU-ExtB" w:hAnsi="PMingLiU-ExtB"/>
          <w:bCs/>
          <w:szCs w:val="20"/>
        </w:rPr>
        <w:t>un espace et d</w:t>
      </w:r>
      <w:r w:rsidRPr="00E83E40">
        <w:rPr>
          <w:rFonts w:ascii="PMingLiU-ExtB" w:eastAsia="PMingLiU-ExtB" w:hAnsi="PMingLiU-ExtB" w:cs="PMingLiU-ExtB" w:hint="eastAsia"/>
          <w:bCs/>
          <w:szCs w:val="20"/>
        </w:rPr>
        <w:t>é</w:t>
      </w:r>
      <w:r w:rsidRPr="00E83E40">
        <w:rPr>
          <w:rFonts w:ascii="PMingLiU-ExtB" w:eastAsia="PMingLiU-ExtB" w:hAnsi="PMingLiU-ExtB"/>
          <w:bCs/>
          <w:szCs w:val="20"/>
        </w:rPr>
        <w:t>couverte de ses possibilit</w:t>
      </w:r>
      <w:r w:rsidRPr="00E83E40">
        <w:rPr>
          <w:rFonts w:ascii="PMingLiU-ExtB" w:eastAsia="PMingLiU-ExtB" w:hAnsi="PMingLiU-ExtB" w:cs="PMingLiU-ExtB" w:hint="eastAsia"/>
          <w:bCs/>
          <w:szCs w:val="20"/>
        </w:rPr>
        <w:t>é</w:t>
      </w:r>
      <w:r w:rsidRPr="00E83E40">
        <w:rPr>
          <w:rFonts w:ascii="PMingLiU-ExtB" w:eastAsia="PMingLiU-ExtB" w:hAnsi="PMingLiU-ExtB"/>
          <w:bCs/>
          <w:szCs w:val="20"/>
        </w:rPr>
        <w:t xml:space="preserve">s </w:t>
      </w:r>
    </w:p>
    <w:p w14:paraId="2BD1DF30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Définir et atteindre les objectifs recherchés pour une prise en charge </w:t>
      </w:r>
    </w:p>
    <w:p w14:paraId="2D6C036A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Description du déroulement d</w:t>
      </w:r>
      <w:r w:rsidRPr="00E83E40">
        <w:rPr>
          <w:rFonts w:ascii="MS Mincho" w:eastAsia="MS Mincho" w:hAnsi="MS Mincho" w:cs="MS Mincho" w:hint="eastAsia"/>
          <w:bCs/>
          <w:szCs w:val="20"/>
        </w:rPr>
        <w:t>’</w:t>
      </w:r>
      <w:r w:rsidRPr="00E83E40">
        <w:rPr>
          <w:rFonts w:ascii="PMingLiU-ExtB" w:eastAsia="PMingLiU-ExtB" w:hAnsi="PMingLiU-ExtB"/>
          <w:bCs/>
          <w:szCs w:val="20"/>
        </w:rPr>
        <w:t>une s</w:t>
      </w:r>
      <w:r w:rsidRPr="00E83E40">
        <w:rPr>
          <w:rFonts w:ascii="PMingLiU-ExtB" w:eastAsia="PMingLiU-ExtB" w:hAnsi="PMingLiU-ExtB" w:cs="PMingLiU-ExtB" w:hint="eastAsia"/>
          <w:bCs/>
          <w:szCs w:val="20"/>
        </w:rPr>
        <w:t>é</w:t>
      </w:r>
      <w:r w:rsidRPr="00E83E40">
        <w:rPr>
          <w:rFonts w:ascii="PMingLiU-ExtB" w:eastAsia="PMingLiU-ExtB" w:hAnsi="PMingLiU-ExtB"/>
          <w:bCs/>
          <w:szCs w:val="20"/>
        </w:rPr>
        <w:t xml:space="preserve">ance </w:t>
      </w:r>
      <w:r w:rsidRPr="00E83E40">
        <w:rPr>
          <w:rFonts w:ascii="PMingLiU-ExtB" w:eastAsia="PMingLiU-ExtB" w:hAnsi="PMingLiU-ExtB" w:cs="PMingLiU-ExtB" w:hint="eastAsia"/>
          <w:bCs/>
          <w:szCs w:val="20"/>
        </w:rPr>
        <w:t>é</w:t>
      </w:r>
      <w:r w:rsidRPr="00E83E40">
        <w:rPr>
          <w:rFonts w:ascii="PMingLiU-ExtB" w:eastAsia="PMingLiU-ExtB" w:hAnsi="PMingLiU-ExtB"/>
          <w:bCs/>
          <w:szCs w:val="20"/>
        </w:rPr>
        <w:t xml:space="preserve">tape par </w:t>
      </w:r>
      <w:r w:rsidRPr="00E83E40">
        <w:rPr>
          <w:rFonts w:ascii="PMingLiU-ExtB" w:eastAsia="PMingLiU-ExtB" w:hAnsi="PMingLiU-ExtB" w:cs="PMingLiU-ExtB" w:hint="eastAsia"/>
          <w:bCs/>
          <w:szCs w:val="20"/>
        </w:rPr>
        <w:t>é</w:t>
      </w:r>
      <w:r w:rsidRPr="00E83E40">
        <w:rPr>
          <w:rFonts w:ascii="PMingLiU-ExtB" w:eastAsia="PMingLiU-ExtB" w:hAnsi="PMingLiU-ExtB"/>
          <w:bCs/>
          <w:szCs w:val="20"/>
        </w:rPr>
        <w:t xml:space="preserve">tape </w:t>
      </w:r>
    </w:p>
    <w:p w14:paraId="23CBBE38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Savoir appréhender les réactions des résidents </w:t>
      </w:r>
    </w:p>
    <w:p w14:paraId="5A4D3379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Présentation de la musicothérapie et de ses plus-values </w:t>
      </w:r>
    </w:p>
    <w:p w14:paraId="5EBC8D96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Savoir définir un projet thérapeutique </w:t>
      </w:r>
    </w:p>
    <w:p w14:paraId="02908B2A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- Savoir utiliser la musicothérapie en séance individuelle ou collective </w:t>
      </w:r>
    </w:p>
    <w:p w14:paraId="5E497B17" w14:textId="4283BD05" w:rsidR="00E83E40" w:rsidRDefault="00E83E40" w:rsidP="008D75F6">
      <w:pPr>
        <w:pStyle w:val="Paragraphedeliste"/>
        <w:spacing w:line="276" w:lineRule="auto"/>
        <w:jc w:val="both"/>
        <w:rPr>
          <w:rFonts w:ascii="PMingLiU-ExtB" w:eastAsia="PMingLiU-ExtB" w:hAnsi="PMingLiU-ExtB"/>
          <w:bCs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- Présentation des techniques de relaxation psychomusicale</w:t>
      </w:r>
    </w:p>
    <w:p w14:paraId="52F73086" w14:textId="77777777" w:rsidR="008D75F6" w:rsidRPr="00E83E40" w:rsidRDefault="008D75F6" w:rsidP="008D75F6">
      <w:pPr>
        <w:pStyle w:val="Paragraphedeliste"/>
        <w:spacing w:line="276" w:lineRule="auto"/>
        <w:jc w:val="both"/>
        <w:rPr>
          <w:rFonts w:ascii="PMingLiU-ExtB" w:eastAsia="PMingLiU-ExtB" w:hAnsi="PMingLiU-ExtB"/>
          <w:color w:val="000000" w:themeColor="text1"/>
          <w:sz w:val="28"/>
        </w:rPr>
      </w:pPr>
    </w:p>
    <w:p w14:paraId="647AD43E" w14:textId="77777777" w:rsidR="00E83E40" w:rsidRPr="00E83E40" w:rsidRDefault="00E83E40" w:rsidP="00E83E4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PMingLiU-ExtB" w:eastAsia="PMingLiU-ExtB" w:hAnsi="PMingLiU-ExtB"/>
          <w:color w:val="95B3D7" w:themeColor="accent1" w:themeTint="99"/>
          <w:sz w:val="32"/>
        </w:rPr>
      </w:pPr>
      <w:r w:rsidRPr="00E83E40">
        <w:rPr>
          <w:rFonts w:ascii="PMingLiU-ExtB" w:eastAsia="PMingLiU-ExtB" w:hAnsi="PMingLiU-ExtB"/>
          <w:color w:val="95B3D7" w:themeColor="accent1" w:themeTint="99"/>
          <w:sz w:val="32"/>
        </w:rPr>
        <w:t>Méthode pédagogique</w:t>
      </w:r>
    </w:p>
    <w:p w14:paraId="1338899B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rPr>
          <w:rFonts w:ascii="PMingLiU-ExtB" w:eastAsia="PMingLiU-ExtB" w:hAnsi="PMingLiU-ExtB" w:cs="Walkway Bold"/>
          <w:color w:val="000000"/>
          <w:sz w:val="24"/>
        </w:rPr>
      </w:pPr>
    </w:p>
    <w:p w14:paraId="7B03AFB6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bCs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>Ateliers de mise en pratique</w:t>
      </w:r>
    </w:p>
    <w:p w14:paraId="08DCBDB8" w14:textId="77777777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</w:p>
    <w:p w14:paraId="5778BFFE" w14:textId="4FC09E37" w:rsidR="00E83E40" w:rsidRPr="00E83E40" w:rsidRDefault="00E83E40" w:rsidP="00E83E40">
      <w:pPr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 w:val="22"/>
          <w:szCs w:val="20"/>
        </w:rPr>
      </w:pPr>
      <w:r w:rsidRPr="00E83E40">
        <w:rPr>
          <w:rFonts w:ascii="PMingLiU-ExtB" w:eastAsia="PMingLiU-ExtB" w:hAnsi="PMingLiU-ExtB"/>
          <w:bCs/>
          <w:sz w:val="22"/>
          <w:szCs w:val="20"/>
        </w:rPr>
        <w:t xml:space="preserve">              Démonstration d</w:t>
      </w:r>
      <w:r w:rsidRPr="00E83E40">
        <w:rPr>
          <w:rFonts w:ascii="MS Mincho" w:eastAsia="MS Mincho" w:hAnsi="MS Mincho" w:cs="MS Mincho" w:hint="eastAsia"/>
          <w:bCs/>
          <w:sz w:val="22"/>
          <w:szCs w:val="20"/>
        </w:rPr>
        <w:t>’</w:t>
      </w:r>
      <w:r w:rsidRPr="00E83E40">
        <w:rPr>
          <w:rFonts w:ascii="PMingLiU-ExtB" w:eastAsia="PMingLiU-ExtB" w:hAnsi="PMingLiU-ExtB"/>
          <w:bCs/>
          <w:sz w:val="22"/>
          <w:szCs w:val="20"/>
        </w:rPr>
        <w:t>une s</w:t>
      </w:r>
      <w:r w:rsidRPr="00E83E40">
        <w:rPr>
          <w:rFonts w:ascii="PMingLiU-ExtB" w:eastAsia="PMingLiU-ExtB" w:hAnsi="PMingLiU-ExtB" w:cs="PMingLiU-ExtB" w:hint="eastAsia"/>
          <w:bCs/>
          <w:sz w:val="22"/>
          <w:szCs w:val="20"/>
        </w:rPr>
        <w:t>é</w:t>
      </w:r>
      <w:r w:rsidRPr="00E83E40">
        <w:rPr>
          <w:rFonts w:ascii="PMingLiU-ExtB" w:eastAsia="PMingLiU-ExtB" w:hAnsi="PMingLiU-ExtB"/>
          <w:bCs/>
          <w:sz w:val="22"/>
          <w:szCs w:val="20"/>
        </w:rPr>
        <w:t>ance en salle</w:t>
      </w:r>
    </w:p>
    <w:p w14:paraId="4E6A5C3F" w14:textId="162DD4BF" w:rsidR="00E83E40" w:rsidRPr="00E83E40" w:rsidRDefault="00E83E40" w:rsidP="00E83E40">
      <w:pPr>
        <w:pStyle w:val="Paragraphedeliste"/>
        <w:autoSpaceDE w:val="0"/>
        <w:autoSpaceDN w:val="0"/>
        <w:adjustRightInd w:val="0"/>
        <w:spacing w:line="241" w:lineRule="atLeast"/>
        <w:rPr>
          <w:rFonts w:ascii="PMingLiU-ExtB" w:eastAsia="PMingLiU-ExtB" w:hAnsi="PMingLiU-ExtB"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 Coaching et supervision des intervenants en séance </w:t>
      </w:r>
    </w:p>
    <w:p w14:paraId="489DC63A" w14:textId="774755E3" w:rsidR="00DC4E18" w:rsidRPr="00E83E40" w:rsidRDefault="00E83E40" w:rsidP="00E83E40">
      <w:pPr>
        <w:pStyle w:val="Paragraphedeliste"/>
        <w:rPr>
          <w:rFonts w:ascii="PMingLiU-ExtB" w:eastAsia="PMingLiU-ExtB" w:hAnsi="PMingLiU-ExtB"/>
          <w:bCs/>
          <w:szCs w:val="20"/>
        </w:rPr>
      </w:pPr>
      <w:r w:rsidRPr="00E83E40">
        <w:rPr>
          <w:rFonts w:ascii="PMingLiU-ExtB" w:eastAsia="PMingLiU-ExtB" w:hAnsi="PMingLiU-ExtB"/>
          <w:bCs/>
          <w:szCs w:val="20"/>
        </w:rPr>
        <w:t xml:space="preserve"> Études de cas réels au travers de vidéos et de photos</w:t>
      </w:r>
    </w:p>
    <w:p w14:paraId="5764F232" w14:textId="77777777" w:rsidR="00E83E40" w:rsidRPr="00E83E40" w:rsidRDefault="00E83E40" w:rsidP="00E83E40">
      <w:pPr>
        <w:pStyle w:val="Paragraphedeliste"/>
        <w:rPr>
          <w:rFonts w:ascii="PMingLiU-ExtB" w:eastAsia="PMingLiU-ExtB" w:hAnsi="PMingLiU-ExtB"/>
          <w:bCs/>
          <w:szCs w:val="20"/>
        </w:rPr>
      </w:pPr>
    </w:p>
    <w:p w14:paraId="738BCBFF" w14:textId="77777777" w:rsidR="00E83E40" w:rsidRPr="00E83E40" w:rsidRDefault="00E83E40" w:rsidP="00E83E40">
      <w:pPr>
        <w:autoSpaceDE w:val="0"/>
        <w:autoSpaceDN w:val="0"/>
        <w:adjustRightInd w:val="0"/>
        <w:rPr>
          <w:rFonts w:ascii="PMingLiU-ExtB" w:eastAsia="PMingLiU-ExtB" w:hAnsi="PMingLiU-ExtB" w:cs="Walkway Black"/>
          <w:color w:val="000000"/>
          <w:sz w:val="28"/>
        </w:rPr>
      </w:pPr>
    </w:p>
    <w:p w14:paraId="56AC4167" w14:textId="3F542FC9" w:rsidR="00E83E40" w:rsidRDefault="00E83E40" w:rsidP="00E83E40">
      <w:pPr>
        <w:pStyle w:val="Paragraphedeliste"/>
        <w:rPr>
          <w:rFonts w:ascii="PMingLiU-ExtB" w:eastAsia="PMingLiU-ExtB" w:hAnsi="PMingLiU-ExtB"/>
          <w:bCs/>
          <w:sz w:val="24"/>
          <w:szCs w:val="23"/>
          <w:lang w:eastAsia="fr-FR"/>
        </w:rPr>
      </w:pPr>
      <w:r w:rsidRPr="00E83E40">
        <w:rPr>
          <w:rFonts w:ascii="PMingLiU-ExtB" w:eastAsia="PMingLiU-ExtB" w:hAnsi="PMingLiU-ExtB"/>
          <w:bCs/>
          <w:sz w:val="24"/>
          <w:szCs w:val="23"/>
          <w:lang w:eastAsia="fr-FR"/>
        </w:rPr>
        <w:t>Modulable en fonction de vos besoins : 4 jours</w:t>
      </w:r>
    </w:p>
    <w:p w14:paraId="1BBA15AD" w14:textId="51F549DA" w:rsidR="007B6E8F" w:rsidRPr="00E83E40" w:rsidRDefault="007B6E8F" w:rsidP="00E83E40">
      <w:pPr>
        <w:pStyle w:val="Paragraphedeliste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bCs/>
          <w:sz w:val="24"/>
          <w:szCs w:val="23"/>
          <w:lang w:eastAsia="fr-FR"/>
        </w:rPr>
        <w:t xml:space="preserve">Tarifs : 1300 </w:t>
      </w:r>
      <w:proofErr w:type="spellStart"/>
      <w:r>
        <w:rPr>
          <w:rFonts w:ascii="PMingLiU-ExtB" w:eastAsia="PMingLiU-ExtB" w:hAnsi="PMingLiU-ExtB"/>
          <w:bCs/>
          <w:sz w:val="24"/>
          <w:szCs w:val="23"/>
          <w:lang w:eastAsia="fr-FR"/>
        </w:rPr>
        <w:t>ht</w:t>
      </w:r>
      <w:proofErr w:type="spellEnd"/>
      <w:r>
        <w:rPr>
          <w:rFonts w:ascii="PMingLiU-ExtB" w:eastAsia="PMingLiU-ExtB" w:hAnsi="PMingLiU-ExtB"/>
          <w:bCs/>
          <w:sz w:val="24"/>
          <w:szCs w:val="23"/>
          <w:lang w:eastAsia="fr-FR"/>
        </w:rPr>
        <w:t>/ Jours</w:t>
      </w:r>
      <w:bookmarkStart w:id="0" w:name="_GoBack"/>
      <w:bookmarkEnd w:id="0"/>
    </w:p>
    <w:sectPr w:rsidR="007B6E8F" w:rsidRPr="00E83E40" w:rsidSect="00CE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73" w:right="0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B92A" w14:textId="77777777" w:rsidR="00B90B87" w:rsidRDefault="00B90B87" w:rsidP="008326FB">
      <w:r>
        <w:separator/>
      </w:r>
    </w:p>
  </w:endnote>
  <w:endnote w:type="continuationSeparator" w:id="0">
    <w:p w14:paraId="14906957" w14:textId="77777777" w:rsidR="00B90B87" w:rsidRDefault="00B90B87" w:rsidP="008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kway Bold">
    <w:altName w:val="Walkwa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lkway Black">
    <w:altName w:val="Walk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3B90" w14:textId="77777777" w:rsidR="00CE6EA7" w:rsidRDefault="00CE6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4282" w14:textId="77777777" w:rsidR="0050023F" w:rsidRDefault="0050023F" w:rsidP="0050023F">
    <w:pPr>
      <w:pStyle w:val="Pieddepage"/>
      <w:ind w:left="-1417"/>
    </w:pPr>
    <w:r>
      <w:rPr>
        <w:noProof/>
      </w:rPr>
      <w:drawing>
        <wp:inline distT="0" distB="0" distL="0" distR="0" wp14:anchorId="7D56ACD3" wp14:editId="01312845">
          <wp:extent cx="7643495" cy="673100"/>
          <wp:effectExtent l="0" t="0" r="1905" b="127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bas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021" cy="6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FEEF" w14:textId="77777777" w:rsidR="00CE6EA7" w:rsidRDefault="00CE6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B7F3" w14:textId="77777777" w:rsidR="00B90B87" w:rsidRDefault="00B90B87" w:rsidP="008326FB">
      <w:r>
        <w:separator/>
      </w:r>
    </w:p>
  </w:footnote>
  <w:footnote w:type="continuationSeparator" w:id="0">
    <w:p w14:paraId="1B1C312D" w14:textId="77777777" w:rsidR="00B90B87" w:rsidRDefault="00B90B87" w:rsidP="0083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F874" w14:textId="77777777" w:rsidR="00CE6EA7" w:rsidRDefault="00CE6E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1346" w14:textId="77777777" w:rsidR="00EA54C4" w:rsidRPr="00EA54C4" w:rsidRDefault="00EA54C4" w:rsidP="0050023F">
    <w:pPr>
      <w:pStyle w:val="En-tte"/>
      <w:ind w:left="-1417"/>
    </w:pPr>
    <w:r>
      <w:rPr>
        <w:noProof/>
      </w:rPr>
      <w:drawing>
        <wp:inline distT="0" distB="0" distL="0" distR="0" wp14:anchorId="5EA09A96" wp14:editId="525761FB">
          <wp:extent cx="7556599" cy="1011343"/>
          <wp:effectExtent l="0" t="0" r="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99" cy="101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449C" w14:textId="77777777" w:rsidR="00CE6EA7" w:rsidRDefault="00CE6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198"/>
    <w:multiLevelType w:val="hybridMultilevel"/>
    <w:tmpl w:val="9DE878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C56A0"/>
    <w:multiLevelType w:val="hybridMultilevel"/>
    <w:tmpl w:val="34CE3A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1D8609E0">
      <w:numFmt w:val="bullet"/>
      <w:lvlText w:val="•"/>
      <w:lvlJc w:val="left"/>
      <w:pPr>
        <w:ind w:left="1440" w:hanging="360"/>
      </w:pPr>
      <w:rPr>
        <w:rFonts w:ascii="Walkway Bold" w:eastAsiaTheme="minorHAnsi" w:hAnsi="Walkway Bold" w:cstheme="minorBidi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0DC4"/>
    <w:multiLevelType w:val="hybridMultilevel"/>
    <w:tmpl w:val="9D30C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4493"/>
    <w:multiLevelType w:val="hybridMultilevel"/>
    <w:tmpl w:val="639A64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432E8"/>
    <w:multiLevelType w:val="hybridMultilevel"/>
    <w:tmpl w:val="43E62B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B"/>
    <w:rsid w:val="001129F0"/>
    <w:rsid w:val="002442F0"/>
    <w:rsid w:val="0050023F"/>
    <w:rsid w:val="00733C83"/>
    <w:rsid w:val="007B6E8F"/>
    <w:rsid w:val="008326FB"/>
    <w:rsid w:val="008D75F6"/>
    <w:rsid w:val="00B90B87"/>
    <w:rsid w:val="00CE6EA7"/>
    <w:rsid w:val="00DC4E18"/>
    <w:rsid w:val="00E83E40"/>
    <w:rsid w:val="00EA54C4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D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1A99C-F1F7-448B-837B-F72441D7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Winnet</cp:lastModifiedBy>
  <cp:revision>2</cp:revision>
  <cp:lastPrinted>2018-07-02T10:01:00Z</cp:lastPrinted>
  <dcterms:created xsi:type="dcterms:W3CDTF">2018-07-02T13:31:00Z</dcterms:created>
  <dcterms:modified xsi:type="dcterms:W3CDTF">2018-07-02T13:31:00Z</dcterms:modified>
</cp:coreProperties>
</file>